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EA4378"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EA4378">
              <w:rPr>
                <w:sz w:val="24"/>
                <w:szCs w:val="24"/>
              </w:rPr>
              <w:t>Ю.Д.Егоров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2124C9">
              <w:rPr>
                <w:sz w:val="24"/>
                <w:szCs w:val="24"/>
              </w:rPr>
              <w:t>26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2124C9">
              <w:rPr>
                <w:sz w:val="24"/>
                <w:szCs w:val="24"/>
              </w:rPr>
              <w:t>октября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5D019C" w:rsidRPr="009E4E8C" w:rsidRDefault="005D019C" w:rsidP="004E6510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2124C9">
        <w:rPr>
          <w:sz w:val="24"/>
          <w:szCs w:val="24"/>
        </w:rPr>
        <w:t>1500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2124C9">
        <w:rPr>
          <w:sz w:val="24"/>
          <w:szCs w:val="28"/>
        </w:rPr>
        <w:t>0105005</w:t>
      </w:r>
      <w:r w:rsidR="00946333" w:rsidRPr="00946333">
        <w:rPr>
          <w:sz w:val="24"/>
          <w:szCs w:val="28"/>
        </w:rPr>
        <w:t>:</w:t>
      </w:r>
      <w:r w:rsidR="002124C9">
        <w:rPr>
          <w:sz w:val="24"/>
          <w:szCs w:val="28"/>
        </w:rPr>
        <w:t>6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2124C9">
        <w:rPr>
          <w:sz w:val="24"/>
          <w:szCs w:val="28"/>
        </w:rPr>
        <w:t>под строительство жилого дома</w:t>
      </w:r>
      <w:r w:rsidR="00EC486D">
        <w:rPr>
          <w:sz w:val="24"/>
          <w:szCs w:val="28"/>
        </w:rPr>
        <w:t>,</w:t>
      </w:r>
      <w:r w:rsidR="00946333" w:rsidRPr="00946333">
        <w:rPr>
          <w:sz w:val="24"/>
          <w:szCs w:val="28"/>
        </w:rPr>
        <w:t xml:space="preserve"> местоположение: Челябинская область, Катав-Ивановский район,</w:t>
      </w:r>
      <w:r w:rsidR="00C13A38">
        <w:rPr>
          <w:sz w:val="24"/>
          <w:szCs w:val="28"/>
        </w:rPr>
        <w:t xml:space="preserve"> </w:t>
      </w:r>
      <w:r w:rsidR="00946333" w:rsidRPr="00946333">
        <w:rPr>
          <w:sz w:val="24"/>
          <w:szCs w:val="28"/>
        </w:rPr>
        <w:t xml:space="preserve">село </w:t>
      </w:r>
      <w:r w:rsidR="002124C9">
        <w:rPr>
          <w:sz w:val="24"/>
          <w:szCs w:val="28"/>
        </w:rPr>
        <w:t>Серпиевка</w:t>
      </w:r>
      <w:r w:rsidR="00946333" w:rsidRPr="00946333">
        <w:rPr>
          <w:sz w:val="24"/>
          <w:szCs w:val="28"/>
        </w:rPr>
        <w:t xml:space="preserve">, улица </w:t>
      </w:r>
      <w:r w:rsidR="002124C9">
        <w:rPr>
          <w:sz w:val="24"/>
          <w:szCs w:val="28"/>
        </w:rPr>
        <w:t>Пугачевская</w:t>
      </w:r>
      <w:r w:rsidR="00946333" w:rsidRPr="00946333">
        <w:rPr>
          <w:sz w:val="24"/>
          <w:szCs w:val="28"/>
        </w:rPr>
        <w:t xml:space="preserve">, </w:t>
      </w:r>
      <w:r w:rsidR="002124C9">
        <w:rPr>
          <w:sz w:val="24"/>
          <w:szCs w:val="28"/>
        </w:rPr>
        <w:t>дом 45</w:t>
      </w:r>
      <w:r w:rsidR="00946333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946333">
        <w:rPr>
          <w:sz w:val="24"/>
          <w:szCs w:val="28"/>
        </w:rPr>
        <w:t>.</w:t>
      </w:r>
    </w:p>
    <w:p w:rsidR="00BA4CE5" w:rsidRDefault="00BA4CE5" w:rsidP="00DD057C">
      <w:pPr>
        <w:jc w:val="center"/>
        <w:rPr>
          <w:sz w:val="24"/>
          <w:szCs w:val="28"/>
        </w:rPr>
      </w:pPr>
    </w:p>
    <w:p w:rsidR="00BA4CE5" w:rsidRDefault="00BA4CE5" w:rsidP="00DD057C">
      <w:pPr>
        <w:jc w:val="center"/>
        <w:rPr>
          <w:sz w:val="24"/>
          <w:szCs w:val="28"/>
        </w:rPr>
      </w:pPr>
    </w:p>
    <w:p w:rsidR="004E6510" w:rsidRDefault="004E6510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b/>
          <w:sz w:val="28"/>
          <w:szCs w:val="28"/>
        </w:rPr>
      </w:pPr>
    </w:p>
    <w:p w:rsidR="002124C9" w:rsidRDefault="002124C9" w:rsidP="00DD057C">
      <w:pPr>
        <w:jc w:val="center"/>
        <w:rPr>
          <w:sz w:val="24"/>
          <w:szCs w:val="28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4E6510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C13A38" w:rsidRDefault="00C13A38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C13A38" w:rsidRDefault="00497E33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6C7DC2" w:rsidRPr="009E4E8C" w:rsidRDefault="006C7DC2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="006C7DC2">
        <w:rPr>
          <w:rStyle w:val="afd"/>
          <w:rFonts w:ascii="Times New Roman" w:hAnsi="Times New Roman"/>
          <w:szCs w:val="24"/>
        </w:rPr>
        <w:t xml:space="preserve"> 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2124C9">
        <w:rPr>
          <w:szCs w:val="24"/>
        </w:rPr>
        <w:t>23</w:t>
      </w:r>
      <w:r w:rsidR="00CF38A3" w:rsidRPr="00096561">
        <w:rPr>
          <w:szCs w:val="24"/>
        </w:rPr>
        <w:t>.</w:t>
      </w:r>
      <w:r w:rsidR="002124C9">
        <w:rPr>
          <w:szCs w:val="24"/>
        </w:rPr>
        <w:t>10</w:t>
      </w:r>
      <w:r w:rsidR="00CF38A3" w:rsidRPr="00096561">
        <w:rPr>
          <w:szCs w:val="24"/>
        </w:rPr>
        <w:t>.</w:t>
      </w:r>
      <w:r w:rsidR="00FF48C5" w:rsidRPr="00096561">
        <w:rPr>
          <w:szCs w:val="24"/>
        </w:rPr>
        <w:t>2023г</w:t>
      </w:r>
      <w:r w:rsidR="00CF38A3" w:rsidRPr="00096561">
        <w:rPr>
          <w:szCs w:val="24"/>
        </w:rPr>
        <w:t xml:space="preserve">. № </w:t>
      </w:r>
      <w:r w:rsidR="002124C9">
        <w:rPr>
          <w:szCs w:val="24"/>
        </w:rPr>
        <w:t>1700</w:t>
      </w:r>
      <w:r w:rsidR="00341F85" w:rsidRPr="00096561">
        <w:rPr>
          <w:szCs w:val="24"/>
        </w:rPr>
        <w:t xml:space="preserve"> «О проведении аукциона в электронной форме по продаже </w:t>
      </w:r>
      <w:r w:rsidR="00FF48C5" w:rsidRPr="00096561">
        <w:rPr>
          <w:szCs w:val="24"/>
        </w:rPr>
        <w:t>земельного участка</w:t>
      </w:r>
      <w:r w:rsidR="00341F85" w:rsidRPr="00096561">
        <w:rPr>
          <w:szCs w:val="24"/>
        </w:rPr>
        <w:t>»</w:t>
      </w:r>
      <w:r w:rsidR="002124C9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1D7238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</w:t>
      </w:r>
      <w:r w:rsidRPr="009E4E8C">
        <w:rPr>
          <w:sz w:val="24"/>
          <w:szCs w:val="24"/>
        </w:rPr>
        <w:lastRenderedPageBreak/>
        <w:t>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62A78" w:rsidRPr="00C13A38" w:rsidRDefault="005D019C" w:rsidP="00C13A38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1D7238">
        <w:rPr>
          <w:sz w:val="24"/>
          <w:szCs w:val="24"/>
        </w:rPr>
        <w:t>земельного участка</w:t>
      </w:r>
      <w:r w:rsidRPr="009E4E8C">
        <w:rPr>
          <w:sz w:val="24"/>
          <w:szCs w:val="24"/>
        </w:rPr>
        <w:t>.</w:t>
      </w:r>
    </w:p>
    <w:p w:rsidR="005D019C" w:rsidRPr="009E4E8C" w:rsidRDefault="005D019C" w:rsidP="00C13A38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EB15CF" w:rsidRDefault="0079194C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C13A38" w:rsidRPr="00C13A38" w:rsidRDefault="00C13A38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2124C9">
        <w:rPr>
          <w:rFonts w:ascii="Times New Roman" w:hAnsi="Times New Roman"/>
          <w:b/>
          <w:i/>
          <w:sz w:val="24"/>
          <w:szCs w:val="24"/>
          <w:u w:val="single"/>
        </w:rPr>
        <w:t>29</w:t>
      </w:r>
      <w:r w:rsidR="001F3168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2124C9">
        <w:rPr>
          <w:rFonts w:ascii="Times New Roman" w:hAnsi="Times New Roman"/>
          <w:b/>
          <w:i/>
          <w:sz w:val="24"/>
          <w:szCs w:val="24"/>
          <w:u w:val="single"/>
        </w:rPr>
        <w:t>ноября</w:t>
      </w:r>
      <w:r w:rsidR="005552D1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9E4E8C">
        <w:rPr>
          <w:rFonts w:ascii="Times New Roman" w:hAnsi="Times New Roman"/>
          <w:b/>
          <w:sz w:val="24"/>
          <w:szCs w:val="24"/>
        </w:rPr>
        <w:t xml:space="preserve">.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Default="00A77CB9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 xml:space="preserve">Сведения о выставляемОМ  на аукцион </w:t>
      </w:r>
      <w:r w:rsidR="001D7238">
        <w:rPr>
          <w:rFonts w:ascii="Times New Roman" w:hAnsi="Times New Roman"/>
          <w:b/>
          <w:bCs/>
          <w:caps/>
          <w:sz w:val="24"/>
          <w:szCs w:val="24"/>
        </w:rPr>
        <w:t>земельном участке</w:t>
      </w:r>
    </w:p>
    <w:p w:rsidR="00C13A38" w:rsidRPr="00C13A38" w:rsidRDefault="00C13A38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2124C9" w:rsidRDefault="002124C9" w:rsidP="0021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6C7DC2" w:rsidRDefault="002124C9" w:rsidP="002124C9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1500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0105005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6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под строительство жилого дома,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район,</w:t>
            </w:r>
            <w:r>
              <w:rPr>
                <w:sz w:val="24"/>
                <w:szCs w:val="28"/>
              </w:rPr>
              <w:t xml:space="preserve"> </w:t>
            </w:r>
            <w:r w:rsidRPr="00946333">
              <w:rPr>
                <w:sz w:val="24"/>
                <w:szCs w:val="28"/>
              </w:rPr>
              <w:t xml:space="preserve">село </w:t>
            </w:r>
            <w:r>
              <w:rPr>
                <w:sz w:val="24"/>
                <w:szCs w:val="28"/>
              </w:rPr>
              <w:t>Серпиевка</w:t>
            </w:r>
            <w:r w:rsidRPr="00946333">
              <w:rPr>
                <w:sz w:val="24"/>
                <w:szCs w:val="28"/>
              </w:rPr>
              <w:t xml:space="preserve">, улица </w:t>
            </w:r>
            <w:r>
              <w:rPr>
                <w:sz w:val="24"/>
                <w:szCs w:val="28"/>
              </w:rPr>
              <w:t>Пугачевская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дом 45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 w:rsidR="006C7DC2"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2124C9" w:rsidP="002124C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C13A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280</w:t>
            </w:r>
            <w:r w:rsidR="000B401E" w:rsidRPr="003F4C15">
              <w:rPr>
                <w:sz w:val="24"/>
                <w:szCs w:val="24"/>
              </w:rPr>
              <w:t>,</w:t>
            </w:r>
            <w:r w:rsidR="00C13A38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2124C9" w:rsidP="002124C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B401E" w:rsidRPr="003F4C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184</w:t>
            </w:r>
            <w:r w:rsidR="000B401E" w:rsidRPr="003F4C15">
              <w:rPr>
                <w:sz w:val="24"/>
                <w:szCs w:val="24"/>
              </w:rPr>
              <w:t>,</w:t>
            </w:r>
            <w:r w:rsidR="00C13A38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3F4C15" w:rsidRDefault="002124C9" w:rsidP="002124C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B401E" w:rsidRPr="003F4C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318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C0256F" w:rsidRDefault="002124C9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DD057C" w:rsidRPr="00C025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="00DD057C" w:rsidRPr="00C0256F">
              <w:rPr>
                <w:sz w:val="24"/>
                <w:szCs w:val="24"/>
              </w:rPr>
              <w:t>.</w:t>
            </w:r>
            <w:r w:rsidR="005552D1" w:rsidRPr="00C0256F">
              <w:rPr>
                <w:sz w:val="24"/>
                <w:szCs w:val="24"/>
              </w:rPr>
              <w:t>2023</w:t>
            </w:r>
          </w:p>
          <w:p w:rsidR="00DD057C" w:rsidRPr="003F4C15" w:rsidRDefault="00DD057C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56F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41556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2124C9" w:rsidRDefault="002124C9" w:rsidP="002124C9">
      <w:pPr>
        <w:jc w:val="both"/>
        <w:rPr>
          <w:sz w:val="24"/>
          <w:szCs w:val="28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1500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0105005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6</w:t>
      </w:r>
      <w:r w:rsidRPr="00946333">
        <w:rPr>
          <w:sz w:val="24"/>
          <w:szCs w:val="28"/>
        </w:rPr>
        <w:t xml:space="preserve">, категория </w:t>
      </w:r>
      <w:r w:rsidRPr="00946333">
        <w:rPr>
          <w:sz w:val="24"/>
          <w:szCs w:val="28"/>
        </w:rPr>
        <w:lastRenderedPageBreak/>
        <w:t xml:space="preserve">земель: земли населенных пунктов, разрешенное использование: </w:t>
      </w:r>
      <w:r>
        <w:rPr>
          <w:sz w:val="24"/>
          <w:szCs w:val="28"/>
        </w:rPr>
        <w:t>под строительство жилого дома,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</w:t>
      </w:r>
      <w:r>
        <w:rPr>
          <w:sz w:val="24"/>
          <w:szCs w:val="28"/>
        </w:rPr>
        <w:t xml:space="preserve"> </w:t>
      </w:r>
      <w:r w:rsidRPr="00946333">
        <w:rPr>
          <w:sz w:val="24"/>
          <w:szCs w:val="28"/>
        </w:rPr>
        <w:t xml:space="preserve">село </w:t>
      </w:r>
      <w:r>
        <w:rPr>
          <w:sz w:val="24"/>
          <w:szCs w:val="28"/>
        </w:rPr>
        <w:t>Серпиевка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Пугачевская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дом 45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57A77" w:rsidRPr="00415565" w:rsidRDefault="00557A77" w:rsidP="002124C9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2124C9">
        <w:rPr>
          <w:sz w:val="24"/>
          <w:szCs w:val="24"/>
        </w:rPr>
        <w:t>земельный участок расположен в границах: 74:10-6.26</w:t>
      </w:r>
      <w:r w:rsidR="004E6510">
        <w:rPr>
          <w:sz w:val="24"/>
          <w:szCs w:val="24"/>
        </w:rPr>
        <w:t>.</w:t>
      </w:r>
    </w:p>
    <w:p w:rsid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557A77"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 w:rsidR="00557A77">
        <w:rPr>
          <w:sz w:val="24"/>
          <w:szCs w:val="24"/>
        </w:rPr>
        <w:t>а</w:t>
      </w:r>
      <w:r w:rsidR="00557A77" w:rsidRPr="000B4295">
        <w:rPr>
          <w:sz w:val="24"/>
          <w:szCs w:val="24"/>
        </w:rPr>
        <w:t>укцион объявлен</w:t>
      </w:r>
      <w:r w:rsidR="00557A77">
        <w:rPr>
          <w:sz w:val="24"/>
          <w:szCs w:val="24"/>
        </w:rPr>
        <w:t xml:space="preserve"> впервые.</w:t>
      </w:r>
    </w:p>
    <w:p w:rsidR="00EC486D" w:rsidRP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EC486D"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415565" w:rsidRPr="00780DFE" w:rsidRDefault="00EC486D" w:rsidP="00780DFE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 w:rsidR="002124C9">
        <w:rPr>
          <w:sz w:val="24"/>
          <w:szCs w:val="24"/>
        </w:rPr>
        <w:t>техническое подключение невозможно, в связи с отсутствием газоснабжения, водоотведения и центрального водоснабжения</w:t>
      </w:r>
      <w:r w:rsidR="00415565">
        <w:rPr>
          <w:sz w:val="24"/>
          <w:szCs w:val="24"/>
        </w:rPr>
        <w:t xml:space="preserve"> </w:t>
      </w:r>
      <w:r w:rsidRPr="004D7723">
        <w:rPr>
          <w:sz w:val="24"/>
          <w:szCs w:val="24"/>
        </w:rPr>
        <w:t xml:space="preserve">(Письмо Администрации </w:t>
      </w:r>
      <w:r w:rsidR="002124C9">
        <w:rPr>
          <w:sz w:val="24"/>
          <w:szCs w:val="24"/>
        </w:rPr>
        <w:t>Серпиевского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2124C9">
        <w:rPr>
          <w:sz w:val="24"/>
          <w:szCs w:val="24"/>
        </w:rPr>
        <w:t>11</w:t>
      </w:r>
      <w:r w:rsidRPr="004D7723">
        <w:rPr>
          <w:sz w:val="24"/>
          <w:szCs w:val="24"/>
        </w:rPr>
        <w:t>.</w:t>
      </w:r>
      <w:r w:rsidR="002124C9">
        <w:rPr>
          <w:sz w:val="24"/>
          <w:szCs w:val="24"/>
        </w:rPr>
        <w:t>10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2124C9">
        <w:rPr>
          <w:sz w:val="24"/>
          <w:szCs w:val="24"/>
        </w:rPr>
        <w:t>221</w:t>
      </w:r>
      <w:r w:rsidRPr="004D7723">
        <w:rPr>
          <w:sz w:val="24"/>
          <w:szCs w:val="24"/>
        </w:rPr>
        <w:t>).</w:t>
      </w:r>
      <w:r w:rsidR="00415565">
        <w:rPr>
          <w:sz w:val="24"/>
          <w:szCs w:val="24"/>
        </w:rPr>
        <w:t xml:space="preserve"> </w:t>
      </w:r>
    </w:p>
    <w:p w:rsidR="002124C9" w:rsidRDefault="002124C9" w:rsidP="00A77CB9">
      <w:pPr>
        <w:pStyle w:val="afb"/>
        <w:jc w:val="center"/>
        <w:rPr>
          <w:rFonts w:ascii="Times New Roman" w:hAnsi="Times New Roman"/>
          <w:b/>
          <w:caps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1D7238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4155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415565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2124C9" w:rsidP="006F51B2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F51B2">
              <w:rPr>
                <w:b/>
                <w:color w:val="000000"/>
                <w:sz w:val="24"/>
                <w:szCs w:val="24"/>
              </w:rPr>
              <w:t>октября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2124C9" w:rsidP="006F51B2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F51B2"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C0256F" w:rsidRDefault="00D9524F" w:rsidP="006F51B2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C0256F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2124C9">
              <w:rPr>
                <w:b/>
                <w:color w:val="000000"/>
                <w:sz w:val="24"/>
                <w:szCs w:val="24"/>
              </w:rPr>
              <w:t>27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F51B2">
              <w:rPr>
                <w:b/>
                <w:color w:val="000000"/>
                <w:sz w:val="24"/>
                <w:szCs w:val="24"/>
              </w:rPr>
              <w:t>октября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2124C9">
              <w:rPr>
                <w:b/>
                <w:color w:val="000000"/>
                <w:sz w:val="24"/>
                <w:szCs w:val="24"/>
              </w:rPr>
              <w:t>27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F51B2">
              <w:rPr>
                <w:b/>
                <w:color w:val="000000"/>
                <w:sz w:val="24"/>
                <w:szCs w:val="24"/>
              </w:rPr>
              <w:t>ноября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C0256F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C0256F" w:rsidRDefault="002124C9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F51B2"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C0256F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C0256F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A37723">
        <w:trPr>
          <w:trHeight w:val="794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C0256F" w:rsidRDefault="002124C9" w:rsidP="006F51B2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F51B2"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C0256F">
              <w:rPr>
                <w:sz w:val="24"/>
                <w:szCs w:val="24"/>
                <w:u w:val="single"/>
              </w:rPr>
              <w:t>-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lastRenderedPageBreak/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415565">
        <w:rPr>
          <w:sz w:val="24"/>
          <w:szCs w:val="24"/>
        </w:rPr>
        <w:t>земельного участка</w:t>
      </w:r>
      <w:r w:rsidR="00EA3BF9">
        <w:rPr>
          <w:sz w:val="24"/>
          <w:szCs w:val="24"/>
        </w:rPr>
        <w:t xml:space="preserve">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1D7238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 информацией о земельном участке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A7532B">
        <w:rPr>
          <w:sz w:val="24"/>
          <w:szCs w:val="24"/>
        </w:rPr>
        <w:t>купли-продажи</w:t>
      </w:r>
      <w:r w:rsidR="00821661">
        <w:rPr>
          <w:sz w:val="24"/>
          <w:szCs w:val="24"/>
        </w:rPr>
        <w:t xml:space="preserve">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</w:t>
      </w:r>
      <w:r w:rsidRPr="00D42FE5">
        <w:rPr>
          <w:sz w:val="24"/>
          <w:szCs w:val="24"/>
        </w:rPr>
        <w:lastRenderedPageBreak/>
        <w:t xml:space="preserve">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415565">
      <w:pPr>
        <w:pStyle w:val="32"/>
        <w:spacing w:after="0"/>
        <w:ind w:left="0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 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415565">
        <w:rPr>
          <w:rFonts w:ascii="Times New Roman" w:hAnsi="Times New Roman"/>
          <w:bCs/>
          <w:sz w:val="24"/>
          <w:szCs w:val="24"/>
        </w:rPr>
        <w:t xml:space="preserve">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A7532B">
        <w:rPr>
          <w:rFonts w:eastAsia="Calibri"/>
          <w:sz w:val="24"/>
          <w:szCs w:val="24"/>
        </w:rPr>
        <w:t>купли-продажи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lastRenderedPageBreak/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6A3BC7">
        <w:rPr>
          <w:rFonts w:eastAsia="Times New Roman"/>
          <w:lang w:eastAsia="en-US"/>
        </w:rPr>
        <w:t>купли-продажи</w:t>
      </w:r>
      <w:r w:rsidRPr="00502CB3">
        <w:rPr>
          <w:rFonts w:eastAsia="Times New Roman"/>
          <w:lang w:eastAsia="en-US"/>
        </w:rPr>
        <w:t xml:space="preserve"> </w:t>
      </w:r>
      <w:r w:rsidR="001D7238">
        <w:rPr>
          <w:rFonts w:eastAsia="Times New Roman"/>
          <w:lang w:eastAsia="en-US"/>
        </w:rPr>
        <w:t>земельного участка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счет обеспечения оплаты приобретаемого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6F51B2">
        <w:rPr>
          <w:b w:val="0"/>
          <w:sz w:val="24"/>
          <w:szCs w:val="24"/>
        </w:rPr>
        <w:t xml:space="preserve"> 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</w:t>
      </w:r>
      <w:r w:rsidRPr="006B35FB">
        <w:rPr>
          <w:sz w:val="24"/>
          <w:szCs w:val="24"/>
        </w:rPr>
        <w:lastRenderedPageBreak/>
        <w:t xml:space="preserve">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</w:t>
      </w:r>
      <w:r w:rsidR="001D7238">
        <w:rPr>
          <w:sz w:val="24"/>
          <w:szCs w:val="24"/>
        </w:rPr>
        <w:t>земельного участка</w:t>
      </w:r>
      <w:r>
        <w:rPr>
          <w:sz w:val="24"/>
          <w:szCs w:val="24"/>
        </w:rPr>
        <w:t>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A7532B">
        <w:rPr>
          <w:sz w:val="24"/>
          <w:szCs w:val="24"/>
        </w:rPr>
        <w:t>купли-продажи</w:t>
      </w:r>
      <w:r w:rsidR="00EA3BF9">
        <w:rPr>
          <w:sz w:val="24"/>
          <w:szCs w:val="24"/>
        </w:rPr>
        <w:t xml:space="preserve">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 xml:space="preserve">в) ни один из участников не сделал предложение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>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 xml:space="preserve">а) наименование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726F65">
        <w:rPr>
          <w:b/>
          <w:caps/>
        </w:rPr>
        <w:t>купли-продажи</w:t>
      </w:r>
      <w:r w:rsidR="00F3121A">
        <w:rPr>
          <w:b/>
          <w:caps/>
        </w:rPr>
        <w:t xml:space="preserve">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lastRenderedPageBreak/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726F65">
        <w:rPr>
          <w:rFonts w:eastAsia="Times New Roman"/>
          <w:lang w:eastAsia="en-US"/>
        </w:rPr>
        <w:t>купли-продажи</w:t>
      </w:r>
      <w:r w:rsidRPr="00007DFD">
        <w:rPr>
          <w:rFonts w:eastAsia="Times New Roman"/>
          <w:lang w:eastAsia="en-US"/>
        </w:rPr>
        <w:t xml:space="preserve"> </w:t>
      </w:r>
      <w:r w:rsidR="00726F65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6F51B2">
        <w:rPr>
          <w:rFonts w:eastAsia="Times New Roman"/>
          <w:lang w:eastAsia="en-US"/>
        </w:rPr>
        <w:t xml:space="preserve"> </w:t>
      </w:r>
      <w:r w:rsidR="00B06ABF" w:rsidRPr="001075B4">
        <w:rPr>
          <w:rFonts w:eastAsia="Times New Roman"/>
          <w:lang w:eastAsia="en-US"/>
        </w:rPr>
        <w:t>№</w:t>
      </w:r>
      <w:r w:rsidR="006F51B2">
        <w:rPr>
          <w:rFonts w:eastAsia="Times New Roman"/>
          <w:lang w:eastAsia="en-US"/>
        </w:rPr>
        <w:t xml:space="preserve"> 2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726F65">
        <w:t>купли-продажи</w:t>
      </w:r>
      <w:r w:rsidR="00F3121A">
        <w:t xml:space="preserve"> </w:t>
      </w:r>
      <w:r w:rsidR="001D7238">
        <w:t>земельного участка</w:t>
      </w:r>
      <w:r w:rsidRPr="00007DFD">
        <w:t xml:space="preserve">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726F65">
        <w:rPr>
          <w:rFonts w:eastAsia="Times New Roman"/>
          <w:lang w:eastAsia="en-US"/>
        </w:rPr>
        <w:t>купли-продажи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подтверждается выпиской со счета, указанного в договоре купли-продажи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726F65">
        <w:rPr>
          <w:rFonts w:eastAsia="Times New Roman"/>
          <w:lang w:eastAsia="en-US"/>
        </w:rPr>
        <w:t>купли-продажи</w:t>
      </w:r>
      <w:r w:rsidR="000F7664">
        <w:rPr>
          <w:rFonts w:eastAsia="Times New Roman"/>
          <w:lang w:eastAsia="en-US"/>
        </w:rPr>
        <w:t xml:space="preserve">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CF591A" w:rsidRDefault="00300D75" w:rsidP="00A37723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CF591A" w:rsidRDefault="00CF591A" w:rsidP="00A37723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Default="00FE4273" w:rsidP="00A3772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B06ABF" w:rsidRDefault="00FE4273" w:rsidP="00726F65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A37723" w:rsidRPr="007E2CA3" w:rsidRDefault="00A3772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6F51B2">
        <w:rPr>
          <w:bCs/>
          <w:sz w:val="24"/>
          <w:szCs w:val="24"/>
        </w:rPr>
        <w:t>2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 w:rsidR="006F51B2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6F51B2">
      <w:pPr>
        <w:ind w:right="554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726F65">
        <w:rPr>
          <w:b/>
          <w:color w:val="000000"/>
        </w:rPr>
        <w:t xml:space="preserve"> </w:t>
      </w:r>
      <w:r>
        <w:t>Комитет имущественных отношений</w:t>
      </w:r>
      <w:r w:rsidR="00726F65">
        <w:t xml:space="preserve"> А</w:t>
      </w:r>
      <w:r>
        <w:t>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="00273416">
        <w:rPr>
          <w:color w:val="000000"/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726F65">
        <w:rPr>
          <w:sz w:val="24"/>
          <w:szCs w:val="24"/>
        </w:rPr>
        <w:t xml:space="preserve">продаже </w:t>
      </w:r>
      <w:r w:rsidR="00CE1B98">
        <w:rPr>
          <w:sz w:val="24"/>
          <w:szCs w:val="24"/>
        </w:rPr>
        <w:t xml:space="preserve">земельного </w:t>
      </w:r>
      <w:r w:rsidR="001D7238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726F65" w:rsidRPr="00273416" w:rsidRDefault="00EB666B" w:rsidP="00273416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>–</w:t>
      </w:r>
      <w:r w:rsidR="00726F65" w:rsidRPr="00273416">
        <w:rPr>
          <w:b/>
          <w:sz w:val="24"/>
          <w:szCs w:val="24"/>
        </w:rPr>
        <w:t xml:space="preserve"> </w:t>
      </w:r>
      <w:r w:rsidR="00273416" w:rsidRPr="00273416">
        <w:rPr>
          <w:b/>
          <w:sz w:val="24"/>
          <w:szCs w:val="24"/>
        </w:rPr>
        <w:t xml:space="preserve">Земельный участок, общей площадью </w:t>
      </w:r>
      <w:r w:rsidR="006F51B2">
        <w:rPr>
          <w:b/>
          <w:sz w:val="24"/>
          <w:szCs w:val="24"/>
        </w:rPr>
        <w:t>1500</w:t>
      </w:r>
      <w:r w:rsidR="00273416" w:rsidRPr="00273416">
        <w:rPr>
          <w:b/>
          <w:sz w:val="24"/>
          <w:szCs w:val="24"/>
        </w:rPr>
        <w:t xml:space="preserve"> кв.м., </w:t>
      </w:r>
      <w:r w:rsidR="00273416" w:rsidRPr="00273416">
        <w:rPr>
          <w:b/>
          <w:sz w:val="24"/>
          <w:szCs w:val="28"/>
        </w:rPr>
        <w:t>кадастровый номер: 74:10:</w:t>
      </w:r>
      <w:r w:rsidR="006F51B2">
        <w:rPr>
          <w:b/>
          <w:sz w:val="24"/>
          <w:szCs w:val="28"/>
        </w:rPr>
        <w:t>0105005</w:t>
      </w:r>
      <w:r w:rsidR="00273416" w:rsidRPr="00273416">
        <w:rPr>
          <w:b/>
          <w:sz w:val="24"/>
          <w:szCs w:val="28"/>
        </w:rPr>
        <w:t>:</w:t>
      </w:r>
      <w:r w:rsidR="006F51B2">
        <w:rPr>
          <w:b/>
          <w:sz w:val="24"/>
          <w:szCs w:val="28"/>
        </w:rPr>
        <w:t>6</w:t>
      </w:r>
      <w:r w:rsidR="00273416" w:rsidRPr="00273416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6F51B2">
        <w:rPr>
          <w:b/>
          <w:sz w:val="24"/>
          <w:szCs w:val="28"/>
        </w:rPr>
        <w:t>под строительство жилого дома</w:t>
      </w:r>
      <w:r w:rsidR="00273416" w:rsidRPr="00273416">
        <w:rPr>
          <w:b/>
          <w:sz w:val="24"/>
          <w:szCs w:val="28"/>
        </w:rPr>
        <w:t xml:space="preserve">, местоположение: Челябинская область, Катав-Ивановский район, село </w:t>
      </w:r>
      <w:r w:rsidR="006F51B2">
        <w:rPr>
          <w:b/>
          <w:sz w:val="24"/>
          <w:szCs w:val="28"/>
        </w:rPr>
        <w:t>Серпиевка</w:t>
      </w:r>
      <w:r w:rsidR="00273416" w:rsidRPr="00273416">
        <w:rPr>
          <w:b/>
          <w:sz w:val="24"/>
          <w:szCs w:val="28"/>
        </w:rPr>
        <w:t xml:space="preserve">, улица </w:t>
      </w:r>
      <w:r w:rsidR="006F51B2">
        <w:rPr>
          <w:b/>
          <w:sz w:val="24"/>
          <w:szCs w:val="28"/>
        </w:rPr>
        <w:t>Пугачевская</w:t>
      </w:r>
      <w:r w:rsidR="00273416" w:rsidRPr="00273416">
        <w:rPr>
          <w:b/>
          <w:sz w:val="24"/>
          <w:szCs w:val="28"/>
        </w:rPr>
        <w:t xml:space="preserve">, </w:t>
      </w:r>
      <w:r w:rsidR="006F51B2">
        <w:rPr>
          <w:b/>
          <w:sz w:val="24"/>
          <w:szCs w:val="28"/>
        </w:rPr>
        <w:t>дом 45</w:t>
      </w:r>
      <w:r w:rsidR="00273416" w:rsidRPr="00273416">
        <w:rPr>
          <w:b/>
          <w:sz w:val="24"/>
          <w:szCs w:val="28"/>
        </w:rPr>
        <w:t>, из земель, государственная собственность на которые не разграничена</w:t>
      </w:r>
      <w:r w:rsidR="00726F65" w:rsidRPr="00273416">
        <w:rPr>
          <w:b/>
          <w:sz w:val="24"/>
          <w:szCs w:val="28"/>
        </w:rPr>
        <w:t>. (ЛОТ №1)</w:t>
      </w: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726F65">
        <w:rPr>
          <w:sz w:val="24"/>
          <w:szCs w:val="24"/>
        </w:rPr>
        <w:t>купли-продажи</w:t>
      </w:r>
      <w:r w:rsidR="00300D75" w:rsidRPr="00300D75">
        <w:rPr>
          <w:sz w:val="24"/>
          <w:szCs w:val="24"/>
        </w:rPr>
        <w:t xml:space="preserve">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726F65">
        <w:rPr>
          <w:sz w:val="24"/>
          <w:szCs w:val="24"/>
        </w:rPr>
        <w:t>купли-продажи</w:t>
      </w:r>
      <w:r w:rsidR="00CE1B98">
        <w:rPr>
          <w:sz w:val="24"/>
          <w:szCs w:val="24"/>
        </w:rPr>
        <w:t xml:space="preserve">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1D7238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Pr="000F7664" w:rsidRDefault="00EB666B" w:rsidP="000F766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CE1B98">
        <w:rPr>
          <w:bCs/>
        </w:rPr>
        <w:t>2</w:t>
      </w:r>
    </w:p>
    <w:p w:rsidR="00726F65" w:rsidRPr="00726F65" w:rsidRDefault="003E5EEC" w:rsidP="00726F65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726F65" w:rsidRPr="009E4E8C" w:rsidRDefault="00726F65" w:rsidP="00726F65">
      <w:pPr>
        <w:ind w:right="554"/>
        <w:jc w:val="center"/>
        <w:rPr>
          <w:sz w:val="24"/>
          <w:szCs w:val="24"/>
        </w:rPr>
      </w:pPr>
    </w:p>
    <w:p w:rsidR="00726F65" w:rsidRDefault="00726F65" w:rsidP="006F51B2">
      <w:pPr>
        <w:autoSpaceDE w:val="0"/>
        <w:autoSpaceDN w:val="0"/>
        <w:adjustRightInd w:val="0"/>
        <w:ind w:right="-284"/>
        <w:rPr>
          <w:b/>
          <w:bCs/>
          <w:sz w:val="24"/>
          <w:szCs w:val="24"/>
        </w:rPr>
      </w:pPr>
    </w:p>
    <w:p w:rsidR="006F51B2" w:rsidRDefault="006F51B2" w:rsidP="006F51B2">
      <w:pPr>
        <w:autoSpaceDE w:val="0"/>
        <w:autoSpaceDN w:val="0"/>
        <w:adjustRightInd w:val="0"/>
        <w:ind w:right="-284"/>
        <w:rPr>
          <w:b/>
          <w:bCs/>
          <w:sz w:val="24"/>
          <w:szCs w:val="24"/>
        </w:rPr>
      </w:pPr>
    </w:p>
    <w:p w:rsidR="006F51B2" w:rsidRDefault="006F51B2" w:rsidP="006F51B2">
      <w:pPr>
        <w:autoSpaceDE w:val="0"/>
        <w:autoSpaceDN w:val="0"/>
        <w:adjustRightInd w:val="0"/>
        <w:ind w:right="-284"/>
        <w:rPr>
          <w:b/>
          <w:bCs/>
          <w:sz w:val="24"/>
          <w:szCs w:val="24"/>
        </w:rPr>
      </w:pPr>
    </w:p>
    <w:p w:rsidR="00726F65" w:rsidRPr="00AE7340" w:rsidRDefault="00726F65" w:rsidP="00726F65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726F65" w:rsidRDefault="00726F65" w:rsidP="00726F65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726F65" w:rsidRPr="00AE7340" w:rsidRDefault="00726F65" w:rsidP="00726F65">
      <w:pPr>
        <w:jc w:val="center"/>
        <w:rPr>
          <w:b/>
          <w:sz w:val="25"/>
          <w:szCs w:val="25"/>
        </w:rPr>
      </w:pPr>
      <w:r w:rsidRPr="00AE7340">
        <w:rPr>
          <w:b/>
          <w:sz w:val="25"/>
          <w:szCs w:val="25"/>
        </w:rPr>
        <w:t>(ЛОТ №1)</w:t>
      </w:r>
    </w:p>
    <w:p w:rsidR="00726F65" w:rsidRPr="0083268D" w:rsidRDefault="00726F65" w:rsidP="00726F65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726F65" w:rsidRPr="0083268D" w:rsidTr="00A7532B">
        <w:tc>
          <w:tcPr>
            <w:tcW w:w="4926" w:type="dxa"/>
          </w:tcPr>
          <w:p w:rsidR="00726F65" w:rsidRPr="0083268D" w:rsidRDefault="00726F65" w:rsidP="00A7532B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83268D" w:rsidRDefault="002D46D6" w:rsidP="00A7532B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="00726F65" w:rsidRPr="0083268D">
              <w:rPr>
                <w:i/>
                <w:sz w:val="25"/>
                <w:szCs w:val="25"/>
              </w:rPr>
              <w:t>«___»</w:t>
            </w:r>
            <w:r w:rsidR="00726F65"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="00726F65"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726F65" w:rsidRPr="0083268D" w:rsidRDefault="00726F65" w:rsidP="00726F65">
      <w:pPr>
        <w:jc w:val="both"/>
        <w:rPr>
          <w:sz w:val="25"/>
          <w:szCs w:val="25"/>
        </w:rPr>
      </w:pPr>
    </w:p>
    <w:p w:rsidR="002D46D6" w:rsidRPr="003F4C15" w:rsidRDefault="00726F65" w:rsidP="00726F65">
      <w:pPr>
        <w:ind w:firstLine="567"/>
        <w:jc w:val="both"/>
        <w:rPr>
          <w:sz w:val="25"/>
          <w:szCs w:val="25"/>
        </w:rPr>
      </w:pPr>
      <w:r w:rsidRPr="003F4C15">
        <w:rPr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3F4C15">
        <w:rPr>
          <w:sz w:val="25"/>
          <w:szCs w:val="25"/>
        </w:rPr>
        <w:t xml:space="preserve"> </w:t>
      </w:r>
      <w:r w:rsidRPr="003F4C15">
        <w:rPr>
          <w:color w:val="000000"/>
          <w:sz w:val="25"/>
          <w:szCs w:val="25"/>
        </w:rPr>
        <w:t>именуемый в дальнейшем «</w:t>
      </w:r>
      <w:r w:rsidR="003F4C15">
        <w:rPr>
          <w:b/>
          <w:color w:val="000000"/>
          <w:sz w:val="25"/>
          <w:szCs w:val="25"/>
        </w:rPr>
        <w:t>Продавец</w:t>
      </w:r>
      <w:r w:rsidRPr="003F4C15">
        <w:rPr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3F4C15">
        <w:rPr>
          <w:sz w:val="25"/>
          <w:szCs w:val="25"/>
        </w:rPr>
        <w:t xml:space="preserve">, с одной стороны и </w:t>
      </w:r>
    </w:p>
    <w:p w:rsidR="00726F65" w:rsidRPr="009E0C53" w:rsidRDefault="00726F65" w:rsidP="00726F65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726F65" w:rsidRPr="009E0C53" w:rsidRDefault="00726F65" w:rsidP="00726F65">
      <w:pPr>
        <w:pStyle w:val="a4"/>
        <w:widowControl/>
        <w:numPr>
          <w:ilvl w:val="0"/>
          <w:numId w:val="16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3F65AC">
        <w:rPr>
          <w:sz w:val="25"/>
          <w:szCs w:val="25"/>
        </w:rPr>
        <w:t>Характеристики земельного участка: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Кадастровый номер </w:t>
      </w:r>
      <w:r w:rsidRPr="00AE7340">
        <w:rPr>
          <w:b/>
          <w:i/>
          <w:sz w:val="25"/>
          <w:szCs w:val="25"/>
        </w:rPr>
        <w:t>74:10:</w:t>
      </w:r>
      <w:r w:rsidR="006F51B2">
        <w:rPr>
          <w:b/>
          <w:i/>
          <w:sz w:val="25"/>
          <w:szCs w:val="25"/>
        </w:rPr>
        <w:t>0105005</w:t>
      </w:r>
      <w:r w:rsidRPr="00AE7340">
        <w:rPr>
          <w:b/>
          <w:i/>
          <w:sz w:val="25"/>
          <w:szCs w:val="25"/>
        </w:rPr>
        <w:t>:</w:t>
      </w:r>
      <w:r w:rsidR="006F51B2">
        <w:rPr>
          <w:b/>
          <w:i/>
          <w:sz w:val="25"/>
          <w:szCs w:val="25"/>
        </w:rPr>
        <w:t>6</w:t>
      </w:r>
      <w:r>
        <w:rPr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Адрес участка (местоположение): </w:t>
      </w:r>
      <w:r>
        <w:rPr>
          <w:b/>
          <w:i/>
          <w:sz w:val="25"/>
          <w:szCs w:val="25"/>
        </w:rPr>
        <w:t xml:space="preserve">Челябинская область, Катав-Ивановский район, </w:t>
      </w:r>
      <w:r w:rsidR="002D46D6">
        <w:rPr>
          <w:b/>
          <w:i/>
          <w:sz w:val="25"/>
          <w:szCs w:val="25"/>
        </w:rPr>
        <w:t xml:space="preserve">село </w:t>
      </w:r>
      <w:r w:rsidR="006F51B2">
        <w:rPr>
          <w:b/>
          <w:i/>
          <w:sz w:val="25"/>
          <w:szCs w:val="25"/>
        </w:rPr>
        <w:t>Серпиевка</w:t>
      </w:r>
      <w:r>
        <w:rPr>
          <w:b/>
          <w:i/>
          <w:sz w:val="25"/>
          <w:szCs w:val="25"/>
        </w:rPr>
        <w:t xml:space="preserve">, улица </w:t>
      </w:r>
      <w:r w:rsidR="006F51B2">
        <w:rPr>
          <w:b/>
          <w:i/>
          <w:sz w:val="25"/>
          <w:szCs w:val="25"/>
        </w:rPr>
        <w:t>Пугачевская</w:t>
      </w:r>
      <w:r>
        <w:rPr>
          <w:b/>
          <w:i/>
          <w:sz w:val="25"/>
          <w:szCs w:val="25"/>
        </w:rPr>
        <w:t xml:space="preserve">, </w:t>
      </w:r>
      <w:r w:rsidR="006F51B2">
        <w:rPr>
          <w:b/>
          <w:i/>
          <w:sz w:val="25"/>
          <w:szCs w:val="25"/>
        </w:rPr>
        <w:t>дом 45</w:t>
      </w:r>
      <w:r>
        <w:rPr>
          <w:b/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Площадь участка: </w:t>
      </w:r>
      <w:r w:rsidR="006F51B2">
        <w:rPr>
          <w:b/>
          <w:i/>
          <w:sz w:val="25"/>
          <w:szCs w:val="25"/>
        </w:rPr>
        <w:t>1500</w:t>
      </w:r>
      <w:r>
        <w:rPr>
          <w:b/>
          <w:i/>
          <w:sz w:val="25"/>
          <w:szCs w:val="25"/>
        </w:rPr>
        <w:t xml:space="preserve"> кв.м.;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Категория земель:  </w:t>
      </w:r>
      <w:r>
        <w:rPr>
          <w:b/>
          <w:i/>
          <w:sz w:val="25"/>
          <w:szCs w:val="25"/>
        </w:rPr>
        <w:t>земли населенных пунктов;</w:t>
      </w:r>
    </w:p>
    <w:p w:rsidR="00726F65" w:rsidRPr="001360A0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Вид разрешенного использования: </w:t>
      </w:r>
      <w:r w:rsidR="006F51B2">
        <w:rPr>
          <w:b/>
          <w:i/>
          <w:sz w:val="25"/>
          <w:szCs w:val="25"/>
        </w:rPr>
        <w:t>под строительство жилого дома</w:t>
      </w:r>
      <w:r>
        <w:rPr>
          <w:b/>
          <w:i/>
          <w:sz w:val="25"/>
          <w:szCs w:val="25"/>
        </w:rPr>
        <w:t>.</w:t>
      </w:r>
    </w:p>
    <w:p w:rsidR="001360A0" w:rsidRPr="00EA5479" w:rsidRDefault="001360A0" w:rsidP="001360A0">
      <w:pPr>
        <w:widowControl/>
        <w:numPr>
          <w:ilvl w:val="1"/>
          <w:numId w:val="16"/>
        </w:numPr>
        <w:tabs>
          <w:tab w:val="left" w:pos="1276"/>
        </w:tabs>
        <w:suppressAutoHyphens/>
        <w:jc w:val="both"/>
        <w:rPr>
          <w:sz w:val="25"/>
          <w:szCs w:val="25"/>
        </w:rPr>
      </w:pPr>
      <w:r w:rsidRPr="00EA5479">
        <w:rPr>
          <w:sz w:val="25"/>
          <w:szCs w:val="25"/>
        </w:rPr>
        <w:t>Ограничения использования и обременения участка:</w:t>
      </w:r>
    </w:p>
    <w:p w:rsidR="001360A0" w:rsidRPr="00EA5479" w:rsidRDefault="001360A0" w:rsidP="001360A0">
      <w:pPr>
        <w:pStyle w:val="afc"/>
        <w:numPr>
          <w:ilvl w:val="2"/>
          <w:numId w:val="16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EA5479">
        <w:rPr>
          <w:rFonts w:ascii="Times New Roman" w:eastAsia="Times New Roman" w:hAnsi="Times New Roman"/>
          <w:sz w:val="25"/>
          <w:szCs w:val="25"/>
        </w:rPr>
        <w:t xml:space="preserve"> Земельный участок расположен в границах: 74:</w:t>
      </w:r>
      <w:r w:rsidRPr="00EA5479">
        <w:rPr>
          <w:rFonts w:ascii="Times New Roman" w:hAnsi="Times New Roman"/>
          <w:sz w:val="25"/>
          <w:szCs w:val="25"/>
        </w:rPr>
        <w:t>10</w:t>
      </w:r>
      <w:r w:rsidRPr="00EA5479">
        <w:rPr>
          <w:rFonts w:ascii="Times New Roman" w:eastAsia="Times New Roman" w:hAnsi="Times New Roman"/>
          <w:sz w:val="25"/>
          <w:szCs w:val="25"/>
        </w:rPr>
        <w:t>-</w:t>
      </w:r>
      <w:r w:rsidRPr="00EA5479">
        <w:rPr>
          <w:rFonts w:ascii="Times New Roman" w:hAnsi="Times New Roman"/>
          <w:sz w:val="25"/>
          <w:szCs w:val="25"/>
        </w:rPr>
        <w:t>6</w:t>
      </w:r>
      <w:r w:rsidRPr="00EA5479">
        <w:rPr>
          <w:rFonts w:ascii="Times New Roman" w:eastAsia="Times New Roman" w:hAnsi="Times New Roman"/>
          <w:sz w:val="25"/>
          <w:szCs w:val="25"/>
        </w:rPr>
        <w:t>.</w:t>
      </w:r>
      <w:r w:rsidRPr="00EA5479">
        <w:rPr>
          <w:rFonts w:ascii="Times New Roman" w:hAnsi="Times New Roman"/>
          <w:sz w:val="25"/>
          <w:szCs w:val="25"/>
        </w:rPr>
        <w:t>26.</w:t>
      </w:r>
    </w:p>
    <w:p w:rsidR="001360A0" w:rsidRPr="00EA5479" w:rsidRDefault="00EA5479" w:rsidP="00EA5479">
      <w:pPr>
        <w:pStyle w:val="afc"/>
        <w:numPr>
          <w:ilvl w:val="2"/>
          <w:numId w:val="16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О</w:t>
      </w:r>
      <w:r w:rsidRPr="00EA5479">
        <w:rPr>
          <w:rFonts w:ascii="Times New Roman" w:hAnsi="Times New Roman"/>
          <w:sz w:val="25"/>
          <w:szCs w:val="25"/>
        </w:rPr>
        <w:t>граничение прав на земельный участок предусмотрены ст.56 Земельного кодекса РФ</w:t>
      </w:r>
      <w:r>
        <w:rPr>
          <w:rFonts w:ascii="Times New Roman" w:hAnsi="Times New Roman"/>
          <w:sz w:val="25"/>
          <w:szCs w:val="25"/>
        </w:rPr>
        <w:t>.</w:t>
      </w:r>
    </w:p>
    <w:p w:rsidR="00726F65" w:rsidRPr="009E0C53" w:rsidRDefault="00726F65" w:rsidP="00726F65">
      <w:pPr>
        <w:pStyle w:val="a4"/>
        <w:widowControl/>
        <w:numPr>
          <w:ilvl w:val="0"/>
          <w:numId w:val="17"/>
        </w:numPr>
        <w:tabs>
          <w:tab w:val="left" w:pos="284"/>
          <w:tab w:val="left" w:pos="1276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726F65" w:rsidRPr="003F65AC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6F51B2">
        <w:rPr>
          <w:sz w:val="25"/>
          <w:szCs w:val="25"/>
        </w:rPr>
        <w:t>23184</w:t>
      </w:r>
      <w:r w:rsidRPr="00B96D95">
        <w:rPr>
          <w:sz w:val="25"/>
          <w:szCs w:val="25"/>
        </w:rPr>
        <w:t>,</w:t>
      </w:r>
      <w:r w:rsidR="006F51B2">
        <w:rPr>
          <w:sz w:val="25"/>
          <w:szCs w:val="25"/>
        </w:rPr>
        <w:t>00 рубля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726F65" w:rsidRPr="009E0C53" w:rsidRDefault="00726F65" w:rsidP="00726F65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726F65" w:rsidRPr="009E0C53" w:rsidRDefault="00726F65" w:rsidP="00726F65">
      <w:pPr>
        <w:widowControl/>
        <w:numPr>
          <w:ilvl w:val="1"/>
          <w:numId w:val="17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726F65" w:rsidRPr="009E0C53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726F65" w:rsidRPr="0083268D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726F65" w:rsidRPr="0083268D" w:rsidRDefault="00726F65" w:rsidP="00726F65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726F65" w:rsidRPr="006F51B2" w:rsidRDefault="00726F65" w:rsidP="006F51B2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726F65" w:rsidRPr="0083268D" w:rsidTr="00A7532B">
        <w:tc>
          <w:tcPr>
            <w:tcW w:w="5387" w:type="dxa"/>
            <w:shd w:val="clear" w:color="auto" w:fill="auto"/>
          </w:tcPr>
          <w:p w:rsidR="00726F65" w:rsidRDefault="00726F65" w:rsidP="00A7532B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lastRenderedPageBreak/>
              <w:t>р/сч. 03100643000000016900,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726F65" w:rsidRPr="00B96D95" w:rsidRDefault="002D46D6" w:rsidP="002D46D6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726F65" w:rsidRPr="0083268D" w:rsidRDefault="00726F65" w:rsidP="00A7532B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lastRenderedPageBreak/>
              <w:t>ПОКУПАТЕЛЬ:</w:t>
            </w:r>
          </w:p>
        </w:tc>
      </w:tr>
    </w:tbl>
    <w:p w:rsidR="00726F65" w:rsidRPr="00997784" w:rsidRDefault="00726F65" w:rsidP="00DB65EE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lastRenderedPageBreak/>
        <w:t>ПОДПИСИ СТОРОН:</w:t>
      </w: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726F65" w:rsidRPr="00997784" w:rsidTr="00A7532B">
        <w:tc>
          <w:tcPr>
            <w:tcW w:w="4791" w:type="dxa"/>
          </w:tcPr>
          <w:p w:rsidR="00726F65" w:rsidRPr="006F51B2" w:rsidRDefault="00726F65" w:rsidP="006F51B2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="00726F65" w:rsidRPr="00F460F6">
              <w:rPr>
                <w:sz w:val="25"/>
                <w:szCs w:val="25"/>
              </w:rPr>
              <w:t xml:space="preserve">     </w:t>
            </w:r>
            <w:r w:rsidR="00726F65">
              <w:rPr>
                <w:sz w:val="25"/>
                <w:szCs w:val="25"/>
              </w:rPr>
              <w:t xml:space="preserve">  </w:t>
            </w:r>
            <w:r w:rsidR="00726F65" w:rsidRPr="00F460F6">
              <w:rPr>
                <w:sz w:val="25"/>
                <w:szCs w:val="25"/>
              </w:rPr>
              <w:t xml:space="preserve"> </w:t>
            </w:r>
            <w:r w:rsidR="00726F65"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="00726F65"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Default="00726F65" w:rsidP="00A7532B">
            <w:pPr>
              <w:jc w:val="center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726F65" w:rsidRPr="00997784" w:rsidRDefault="00726F65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726F65" w:rsidRPr="00997784" w:rsidRDefault="00726F65" w:rsidP="00A7532B">
            <w:pPr>
              <w:rPr>
                <w:sz w:val="25"/>
                <w:szCs w:val="25"/>
              </w:rPr>
            </w:pPr>
          </w:p>
          <w:p w:rsidR="00726F65" w:rsidRPr="00F460F6" w:rsidRDefault="00726F65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</w:tc>
      </w:tr>
    </w:tbl>
    <w:p w:rsidR="00726F65" w:rsidRDefault="00726F65" w:rsidP="00726F65">
      <w:pPr>
        <w:rPr>
          <w:szCs w:val="24"/>
        </w:rPr>
      </w:pPr>
    </w:p>
    <w:p w:rsidR="00726F65" w:rsidRPr="00936E7F" w:rsidRDefault="00726F65" w:rsidP="00726F65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726F65" w:rsidRDefault="00726F65" w:rsidP="00726F65">
      <w:pPr>
        <w:rPr>
          <w:u w:val="single"/>
        </w:rPr>
      </w:pPr>
      <w:r>
        <w:rPr>
          <w:u w:val="single"/>
        </w:rPr>
        <w:t xml:space="preserve">      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 w:rsidR="002D46D6"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 w:rsidR="002D46D6">
        <w:rPr>
          <w:sz w:val="19"/>
          <w:szCs w:val="19"/>
          <w:u w:val="single"/>
        </w:rPr>
        <w:t xml:space="preserve">                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726F65" w:rsidRPr="00936E7F" w:rsidRDefault="00726F65" w:rsidP="00726F65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726F65" w:rsidRPr="00D30E81" w:rsidRDefault="00726F65" w:rsidP="00726F65"/>
    <w:p w:rsidR="00726F65" w:rsidRPr="006F51B2" w:rsidRDefault="00726F65" w:rsidP="00726F65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726F65" w:rsidRPr="0028611B" w:rsidRDefault="00726F65" w:rsidP="00726F65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726F65" w:rsidRPr="0028611B" w:rsidRDefault="00726F65" w:rsidP="00726F65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124C9" w:rsidRPr="006817E1" w:rsidTr="00A7532B">
        <w:tc>
          <w:tcPr>
            <w:tcW w:w="4926" w:type="dxa"/>
          </w:tcPr>
          <w:p w:rsidR="00726F65" w:rsidRPr="0044704B" w:rsidRDefault="00726F65" w:rsidP="00A7532B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44704B" w:rsidRDefault="00726F65" w:rsidP="00A7532B">
            <w:pPr>
              <w:jc w:val="right"/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726F65" w:rsidRPr="0028611B" w:rsidRDefault="00726F65" w:rsidP="00726F65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2D46D6" w:rsidRDefault="002D46D6" w:rsidP="00726F65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="00726F65" w:rsidRPr="0028611B">
        <w:rPr>
          <w:sz w:val="26"/>
          <w:szCs w:val="26"/>
        </w:rPr>
        <w:t>, с одной стороны</w:t>
      </w:r>
      <w:r w:rsidR="00726F65">
        <w:rPr>
          <w:sz w:val="26"/>
          <w:szCs w:val="26"/>
        </w:rPr>
        <w:t>,</w:t>
      </w:r>
      <w:r w:rsidR="00726F65" w:rsidRPr="0028611B">
        <w:rPr>
          <w:sz w:val="26"/>
          <w:szCs w:val="26"/>
        </w:rPr>
        <w:t xml:space="preserve"> и</w:t>
      </w:r>
    </w:p>
    <w:p w:rsidR="00726F65" w:rsidRPr="005012DF" w:rsidRDefault="00726F65" w:rsidP="00726F65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6F51B2">
        <w:rPr>
          <w:b/>
          <w:sz w:val="26"/>
          <w:szCs w:val="26"/>
        </w:rPr>
        <w:t>1500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6F51B2">
        <w:rPr>
          <w:b/>
          <w:sz w:val="26"/>
          <w:szCs w:val="26"/>
        </w:rPr>
        <w:t>0105005</w:t>
      </w:r>
      <w:r w:rsidRPr="005012DF">
        <w:rPr>
          <w:b/>
          <w:sz w:val="26"/>
          <w:szCs w:val="26"/>
        </w:rPr>
        <w:t>:</w:t>
      </w:r>
      <w:r w:rsidR="006F51B2">
        <w:rPr>
          <w:b/>
          <w:sz w:val="26"/>
          <w:szCs w:val="26"/>
        </w:rPr>
        <w:t>6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>Челябинская область, Катав-Ивановский</w:t>
      </w:r>
      <w:r w:rsidR="00273416">
        <w:rPr>
          <w:b/>
          <w:sz w:val="26"/>
          <w:szCs w:val="26"/>
        </w:rPr>
        <w:t xml:space="preserve"> </w:t>
      </w:r>
      <w:r w:rsidRPr="005012DF">
        <w:rPr>
          <w:b/>
          <w:sz w:val="26"/>
          <w:szCs w:val="26"/>
        </w:rPr>
        <w:t xml:space="preserve">район, </w:t>
      </w:r>
      <w:r w:rsidR="002D46D6">
        <w:rPr>
          <w:b/>
          <w:sz w:val="26"/>
          <w:szCs w:val="26"/>
        </w:rPr>
        <w:t xml:space="preserve">село </w:t>
      </w:r>
      <w:r w:rsidR="006F51B2">
        <w:rPr>
          <w:b/>
          <w:sz w:val="26"/>
          <w:szCs w:val="26"/>
        </w:rPr>
        <w:t>Серпиевка</w:t>
      </w:r>
      <w:r>
        <w:rPr>
          <w:b/>
          <w:sz w:val="26"/>
          <w:szCs w:val="26"/>
        </w:rPr>
        <w:t xml:space="preserve">, улица </w:t>
      </w:r>
      <w:r w:rsidR="006F51B2">
        <w:rPr>
          <w:b/>
          <w:sz w:val="26"/>
          <w:szCs w:val="26"/>
        </w:rPr>
        <w:t>Пугачевская</w:t>
      </w:r>
      <w:r>
        <w:rPr>
          <w:b/>
          <w:sz w:val="26"/>
          <w:szCs w:val="26"/>
        </w:rPr>
        <w:t xml:space="preserve">, </w:t>
      </w:r>
      <w:r w:rsidR="006F51B2">
        <w:rPr>
          <w:b/>
          <w:sz w:val="26"/>
          <w:szCs w:val="26"/>
        </w:rPr>
        <w:t>дом 45</w:t>
      </w:r>
      <w:r w:rsidRPr="005012DF">
        <w:rPr>
          <w:b/>
          <w:sz w:val="26"/>
          <w:szCs w:val="26"/>
        </w:rPr>
        <w:t xml:space="preserve">,  </w:t>
      </w:r>
      <w:r w:rsidR="006F51B2">
        <w:rPr>
          <w:sz w:val="26"/>
          <w:szCs w:val="26"/>
        </w:rPr>
        <w:t>под строительство жилого дома</w:t>
      </w:r>
      <w:r w:rsidRPr="005012DF">
        <w:rPr>
          <w:sz w:val="26"/>
          <w:szCs w:val="26"/>
        </w:rPr>
        <w:t>.</w:t>
      </w:r>
    </w:p>
    <w:p w:rsidR="00726F65" w:rsidRPr="0083268D" w:rsidRDefault="00726F65" w:rsidP="00273416">
      <w:pPr>
        <w:jc w:val="both"/>
        <w:rPr>
          <w:sz w:val="26"/>
          <w:szCs w:val="26"/>
        </w:rPr>
      </w:pP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</w:p>
    <w:p w:rsidR="00726F65" w:rsidRPr="0028611B" w:rsidRDefault="00726F65" w:rsidP="00726F65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726F65" w:rsidRPr="0028611B" w:rsidRDefault="00726F65" w:rsidP="00726F65">
      <w:pPr>
        <w:rPr>
          <w:sz w:val="26"/>
          <w:szCs w:val="26"/>
        </w:rPr>
      </w:pP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726F65" w:rsidRPr="00B96D95" w:rsidRDefault="00726F65" w:rsidP="00726F65">
      <w:pPr>
        <w:ind w:left="708"/>
        <w:jc w:val="both"/>
        <w:rPr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 w:rsidR="002D46D6"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726F65" w:rsidRPr="00752837" w:rsidRDefault="00726F65" w:rsidP="00726F65">
      <w:pPr>
        <w:rPr>
          <w:sz w:val="24"/>
          <w:szCs w:val="24"/>
        </w:rPr>
      </w:pP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sectPr w:rsidR="00630505" w:rsidSect="00A37723">
      <w:headerReference w:type="even" r:id="rId14"/>
      <w:headerReference w:type="default" r:id="rId15"/>
      <w:endnotePr>
        <w:numFmt w:val="decimal"/>
      </w:endnotePr>
      <w:pgSz w:w="11907" w:h="16840"/>
      <w:pgMar w:top="567" w:right="680" w:bottom="284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023" w:rsidRDefault="000C6023">
      <w:r>
        <w:separator/>
      </w:r>
    </w:p>
  </w:endnote>
  <w:endnote w:type="continuationSeparator" w:id="1">
    <w:p w:rsidR="000C6023" w:rsidRDefault="000C6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023" w:rsidRDefault="000C6023">
      <w:r>
        <w:separator/>
      </w:r>
    </w:p>
  </w:footnote>
  <w:footnote w:type="continuationSeparator" w:id="1">
    <w:p w:rsidR="000C6023" w:rsidRDefault="000C6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C9" w:rsidRDefault="00A85EB5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2124C9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2124C9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2124C9" w:rsidRDefault="002124C9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C9" w:rsidRDefault="00A85EB5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2124C9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DB65EE">
      <w:rPr>
        <w:rStyle w:val="a8"/>
        <w:rFonts w:ascii="Times New Roman CYR" w:hAnsi="Times New Roman CYR"/>
        <w:noProof/>
        <w:sz w:val="24"/>
      </w:rPr>
      <w:t>14</w:t>
    </w:r>
    <w:r>
      <w:rPr>
        <w:rStyle w:val="a8"/>
        <w:rFonts w:ascii="Times New Roman CYR" w:hAnsi="Times New Roman CYR"/>
        <w:sz w:val="24"/>
      </w:rPr>
      <w:fldChar w:fldCharType="end"/>
    </w:r>
  </w:p>
  <w:p w:rsidR="002124C9" w:rsidRDefault="002124C9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4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40C4147"/>
    <w:multiLevelType w:val="multilevel"/>
    <w:tmpl w:val="6AD01AE2"/>
    <w:lvl w:ilvl="0">
      <w:start w:val="1"/>
      <w:numFmt w:val="decimal"/>
      <w:lvlText w:val="%1."/>
      <w:lvlJc w:val="left"/>
      <w:pPr>
        <w:ind w:left="1035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1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2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6">
    <w:nsid w:val="754B19CC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762E0601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9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2"/>
  </w:num>
  <w:num w:numId="5">
    <w:abstractNumId w:val="7"/>
  </w:num>
  <w:num w:numId="6">
    <w:abstractNumId w:val="4"/>
  </w:num>
  <w:num w:numId="7">
    <w:abstractNumId w:val="13"/>
  </w:num>
  <w:num w:numId="8">
    <w:abstractNumId w:val="3"/>
  </w:num>
  <w:num w:numId="9">
    <w:abstractNumId w:val="6"/>
  </w:num>
  <w:num w:numId="10">
    <w:abstractNumId w:val="12"/>
  </w:num>
  <w:num w:numId="11">
    <w:abstractNumId w:val="19"/>
  </w:num>
  <w:num w:numId="12">
    <w:abstractNumId w:val="20"/>
  </w:num>
  <w:num w:numId="13">
    <w:abstractNumId w:val="5"/>
  </w:num>
  <w:num w:numId="14">
    <w:abstractNumId w:val="14"/>
  </w:num>
  <w:num w:numId="15">
    <w:abstractNumId w:val="1"/>
  </w:num>
  <w:num w:numId="16">
    <w:abstractNumId w:val="9"/>
  </w:num>
  <w:num w:numId="17">
    <w:abstractNumId w:val="15"/>
  </w:num>
  <w:num w:numId="18">
    <w:abstractNumId w:val="8"/>
  </w:num>
  <w:num w:numId="19">
    <w:abstractNumId w:val="10"/>
  </w:num>
  <w:num w:numId="20">
    <w:abstractNumId w:val="17"/>
  </w:num>
  <w:num w:numId="21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96561"/>
    <w:rsid w:val="000B401E"/>
    <w:rsid w:val="000B7F74"/>
    <w:rsid w:val="000C21D1"/>
    <w:rsid w:val="000C4E39"/>
    <w:rsid w:val="000C6023"/>
    <w:rsid w:val="000D7994"/>
    <w:rsid w:val="000F64F3"/>
    <w:rsid w:val="000F7664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60A0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D7238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24C9"/>
    <w:rsid w:val="00217658"/>
    <w:rsid w:val="0021770D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252F"/>
    <w:rsid w:val="0026452F"/>
    <w:rsid w:val="00265130"/>
    <w:rsid w:val="00273416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46D6"/>
    <w:rsid w:val="002D5485"/>
    <w:rsid w:val="002D5A53"/>
    <w:rsid w:val="002D7AE5"/>
    <w:rsid w:val="002E2868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75E50"/>
    <w:rsid w:val="00382563"/>
    <w:rsid w:val="00382C41"/>
    <w:rsid w:val="0038770D"/>
    <w:rsid w:val="00387F76"/>
    <w:rsid w:val="00391C6A"/>
    <w:rsid w:val="003930ED"/>
    <w:rsid w:val="003940EC"/>
    <w:rsid w:val="003A0756"/>
    <w:rsid w:val="003B0175"/>
    <w:rsid w:val="003B3BA0"/>
    <w:rsid w:val="003B6423"/>
    <w:rsid w:val="003B76C6"/>
    <w:rsid w:val="003D4D25"/>
    <w:rsid w:val="003D7210"/>
    <w:rsid w:val="003E33FE"/>
    <w:rsid w:val="003E3587"/>
    <w:rsid w:val="003E5EEC"/>
    <w:rsid w:val="003F253F"/>
    <w:rsid w:val="003F4BE1"/>
    <w:rsid w:val="003F4C15"/>
    <w:rsid w:val="004027E7"/>
    <w:rsid w:val="00402B83"/>
    <w:rsid w:val="004103A2"/>
    <w:rsid w:val="0041383E"/>
    <w:rsid w:val="00413900"/>
    <w:rsid w:val="00413B56"/>
    <w:rsid w:val="00415565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142A"/>
    <w:rsid w:val="00444438"/>
    <w:rsid w:val="004610D0"/>
    <w:rsid w:val="004618AF"/>
    <w:rsid w:val="00463119"/>
    <w:rsid w:val="004646AF"/>
    <w:rsid w:val="00470E1F"/>
    <w:rsid w:val="004727B1"/>
    <w:rsid w:val="00473D6A"/>
    <w:rsid w:val="00476117"/>
    <w:rsid w:val="00476FB8"/>
    <w:rsid w:val="00480B48"/>
    <w:rsid w:val="00481C32"/>
    <w:rsid w:val="004874F2"/>
    <w:rsid w:val="00490883"/>
    <w:rsid w:val="00496935"/>
    <w:rsid w:val="00497E33"/>
    <w:rsid w:val="004A28D2"/>
    <w:rsid w:val="004A36B1"/>
    <w:rsid w:val="004A621A"/>
    <w:rsid w:val="004A6FD8"/>
    <w:rsid w:val="004B20A6"/>
    <w:rsid w:val="004B3150"/>
    <w:rsid w:val="004B354C"/>
    <w:rsid w:val="004B5228"/>
    <w:rsid w:val="004C4C51"/>
    <w:rsid w:val="004C6F29"/>
    <w:rsid w:val="004D0098"/>
    <w:rsid w:val="004D2935"/>
    <w:rsid w:val="004D5902"/>
    <w:rsid w:val="004D62A1"/>
    <w:rsid w:val="004E236B"/>
    <w:rsid w:val="004E29B1"/>
    <w:rsid w:val="004E60B7"/>
    <w:rsid w:val="004E6510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551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9BB"/>
    <w:rsid w:val="005A4FA5"/>
    <w:rsid w:val="005A5D82"/>
    <w:rsid w:val="005A60F3"/>
    <w:rsid w:val="005A6C8C"/>
    <w:rsid w:val="005B424A"/>
    <w:rsid w:val="005B662B"/>
    <w:rsid w:val="005C129F"/>
    <w:rsid w:val="005C4B8D"/>
    <w:rsid w:val="005D019C"/>
    <w:rsid w:val="005D737A"/>
    <w:rsid w:val="005D763C"/>
    <w:rsid w:val="005E26B7"/>
    <w:rsid w:val="005F15E4"/>
    <w:rsid w:val="005F3528"/>
    <w:rsid w:val="00605A0A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3BC7"/>
    <w:rsid w:val="006A4AFC"/>
    <w:rsid w:val="006B4CC7"/>
    <w:rsid w:val="006B776B"/>
    <w:rsid w:val="006C450E"/>
    <w:rsid w:val="006C7DC2"/>
    <w:rsid w:val="006D073C"/>
    <w:rsid w:val="006D349C"/>
    <w:rsid w:val="006D48F7"/>
    <w:rsid w:val="006F086F"/>
    <w:rsid w:val="006F1B11"/>
    <w:rsid w:val="006F27D2"/>
    <w:rsid w:val="006F51B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6F65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4776"/>
    <w:rsid w:val="007655EB"/>
    <w:rsid w:val="00774193"/>
    <w:rsid w:val="00780DFE"/>
    <w:rsid w:val="00782052"/>
    <w:rsid w:val="00784A54"/>
    <w:rsid w:val="007913F5"/>
    <w:rsid w:val="0079194C"/>
    <w:rsid w:val="007A1B60"/>
    <w:rsid w:val="007A29F7"/>
    <w:rsid w:val="007A7E02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52E4"/>
    <w:rsid w:val="007F7563"/>
    <w:rsid w:val="00800CAE"/>
    <w:rsid w:val="00801491"/>
    <w:rsid w:val="008018A1"/>
    <w:rsid w:val="0080191E"/>
    <w:rsid w:val="00804972"/>
    <w:rsid w:val="0080771A"/>
    <w:rsid w:val="008169AB"/>
    <w:rsid w:val="00821661"/>
    <w:rsid w:val="00823274"/>
    <w:rsid w:val="00826725"/>
    <w:rsid w:val="00831AF1"/>
    <w:rsid w:val="00831C44"/>
    <w:rsid w:val="008327D2"/>
    <w:rsid w:val="008344B2"/>
    <w:rsid w:val="008415BC"/>
    <w:rsid w:val="0084305E"/>
    <w:rsid w:val="008454D3"/>
    <w:rsid w:val="00850C0E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E4331"/>
    <w:rsid w:val="008F2E66"/>
    <w:rsid w:val="00902997"/>
    <w:rsid w:val="00903375"/>
    <w:rsid w:val="00915121"/>
    <w:rsid w:val="00915BBC"/>
    <w:rsid w:val="0091712E"/>
    <w:rsid w:val="00917213"/>
    <w:rsid w:val="00921171"/>
    <w:rsid w:val="009215DB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892"/>
    <w:rsid w:val="00A06C12"/>
    <w:rsid w:val="00A1397A"/>
    <w:rsid w:val="00A13BE9"/>
    <w:rsid w:val="00A148D1"/>
    <w:rsid w:val="00A17870"/>
    <w:rsid w:val="00A260B0"/>
    <w:rsid w:val="00A262E6"/>
    <w:rsid w:val="00A263B9"/>
    <w:rsid w:val="00A274B5"/>
    <w:rsid w:val="00A30214"/>
    <w:rsid w:val="00A337BD"/>
    <w:rsid w:val="00A37723"/>
    <w:rsid w:val="00A401F4"/>
    <w:rsid w:val="00A4467F"/>
    <w:rsid w:val="00A54BD2"/>
    <w:rsid w:val="00A561CF"/>
    <w:rsid w:val="00A63400"/>
    <w:rsid w:val="00A6359B"/>
    <w:rsid w:val="00A66B3C"/>
    <w:rsid w:val="00A74547"/>
    <w:rsid w:val="00A7532B"/>
    <w:rsid w:val="00A76698"/>
    <w:rsid w:val="00A77CB9"/>
    <w:rsid w:val="00A80625"/>
    <w:rsid w:val="00A85EB5"/>
    <w:rsid w:val="00A93C0F"/>
    <w:rsid w:val="00A97125"/>
    <w:rsid w:val="00A97632"/>
    <w:rsid w:val="00AA074A"/>
    <w:rsid w:val="00AA48F0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4CE5"/>
    <w:rsid w:val="00BA5CC5"/>
    <w:rsid w:val="00BA65C6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F527E"/>
    <w:rsid w:val="00C0254D"/>
    <w:rsid w:val="00C0256F"/>
    <w:rsid w:val="00C06ED6"/>
    <w:rsid w:val="00C12361"/>
    <w:rsid w:val="00C13251"/>
    <w:rsid w:val="00C13A38"/>
    <w:rsid w:val="00C15758"/>
    <w:rsid w:val="00C20AFE"/>
    <w:rsid w:val="00C276FB"/>
    <w:rsid w:val="00C31007"/>
    <w:rsid w:val="00C40142"/>
    <w:rsid w:val="00C43658"/>
    <w:rsid w:val="00C46C6A"/>
    <w:rsid w:val="00C6427B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D5B55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055B1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4011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B65EE"/>
    <w:rsid w:val="00DC0708"/>
    <w:rsid w:val="00DC28C2"/>
    <w:rsid w:val="00DC3040"/>
    <w:rsid w:val="00DD057C"/>
    <w:rsid w:val="00DD0AFD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4D16"/>
    <w:rsid w:val="00E6186B"/>
    <w:rsid w:val="00E63CEF"/>
    <w:rsid w:val="00E757AD"/>
    <w:rsid w:val="00E75E17"/>
    <w:rsid w:val="00E77B13"/>
    <w:rsid w:val="00E85B9D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A4378"/>
    <w:rsid w:val="00EA5479"/>
    <w:rsid w:val="00EB15CF"/>
    <w:rsid w:val="00EB2CB6"/>
    <w:rsid w:val="00EB3A88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06F9"/>
    <w:rsid w:val="00F8217D"/>
    <w:rsid w:val="00F83473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489F-2256-47BC-AB71-0AA4574F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6779</Words>
  <Characters>38642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5</cp:revision>
  <cp:lastPrinted>2023-10-23T10:37:00Z</cp:lastPrinted>
  <dcterms:created xsi:type="dcterms:W3CDTF">2023-10-23T10:02:00Z</dcterms:created>
  <dcterms:modified xsi:type="dcterms:W3CDTF">2023-10-23T10:43:00Z</dcterms:modified>
</cp:coreProperties>
</file>